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626" w:rsidRDefault="00BE309A" w:rsidP="004607A5">
      <w:pPr>
        <w:jc w:val="center"/>
      </w:pPr>
      <w:r>
        <w:t xml:space="preserve">SHELL </w:t>
      </w:r>
      <w:r w:rsidR="00F238B1">
        <w:t>HELIX</w:t>
      </w:r>
      <w:r>
        <w:t xml:space="preserve"> </w:t>
      </w:r>
      <w:r w:rsidRPr="00B46093">
        <w:t>CARBON</w:t>
      </w:r>
      <w:r>
        <w:t xml:space="preserve"> NEUTRAL</w:t>
      </w:r>
    </w:p>
    <w:p w:rsidR="00A9204E" w:rsidRPr="00B46093" w:rsidRDefault="004607A5" w:rsidP="004607A5">
      <w:pPr>
        <w:jc w:val="center"/>
      </w:pPr>
      <w:r w:rsidRPr="00B46093">
        <w:t xml:space="preserve"> LONG-FORM DISCLAIMER</w:t>
      </w:r>
    </w:p>
    <w:p w:rsidR="004607A5" w:rsidRPr="00B46093" w:rsidRDefault="004607A5"/>
    <w:p w:rsidR="004607A5" w:rsidRPr="00B46093" w:rsidRDefault="004607A5" w:rsidP="004607A5">
      <w:pPr>
        <w:jc w:val="both"/>
        <w:rPr>
          <w:lang w:val="en-GB"/>
        </w:rPr>
      </w:pPr>
    </w:p>
    <w:p w:rsidR="004607A5" w:rsidRPr="00B46093" w:rsidRDefault="004607A5" w:rsidP="004607A5">
      <w:pPr>
        <w:pStyle w:val="ListParagraph"/>
        <w:numPr>
          <w:ilvl w:val="0"/>
          <w:numId w:val="24"/>
        </w:numPr>
        <w:ind w:left="180" w:hanging="180"/>
        <w:jc w:val="both"/>
      </w:pPr>
      <w:r w:rsidRPr="00B46093">
        <w:rPr>
          <w:lang w:val="en-GB"/>
        </w:rPr>
        <w:t>Before offsetting CO</w:t>
      </w:r>
      <w:r w:rsidRPr="00B46093">
        <w:rPr>
          <w:vertAlign w:val="subscript"/>
          <w:lang w:val="en-GB"/>
        </w:rPr>
        <w:t>2</w:t>
      </w:r>
      <w:r w:rsidR="00B46093" w:rsidRPr="00B46093">
        <w:rPr>
          <w:vertAlign w:val="subscript"/>
          <w:lang w:val="en-GB"/>
        </w:rPr>
        <w:t xml:space="preserve"> </w:t>
      </w:r>
      <w:r w:rsidR="00B46093" w:rsidRPr="00B46093">
        <w:rPr>
          <w:lang w:val="en-GB"/>
        </w:rPr>
        <w:t>equivalent (CO</w:t>
      </w:r>
      <w:r w:rsidR="00B46093" w:rsidRPr="00B46093">
        <w:rPr>
          <w:vertAlign w:val="subscript"/>
          <w:lang w:val="en-GB"/>
        </w:rPr>
        <w:t>2</w:t>
      </w:r>
      <w:r w:rsidR="00B46093" w:rsidRPr="00B46093">
        <w:rPr>
          <w:lang w:val="en-GB"/>
        </w:rPr>
        <w:t>e)</w:t>
      </w:r>
      <w:r w:rsidRPr="00B46093">
        <w:rPr>
          <w:lang w:val="en-GB"/>
        </w:rPr>
        <w:t xml:space="preserve"> emissions</w:t>
      </w:r>
      <w:r w:rsidR="00BE309A">
        <w:rPr>
          <w:rStyle w:val="FootnoteReference"/>
        </w:rPr>
        <w:footnoteReference w:id="1"/>
      </w:r>
      <w:r w:rsidR="00B46093" w:rsidRPr="00B46093">
        <w:t xml:space="preserve">, </w:t>
      </w:r>
      <w:r w:rsidRPr="00B46093">
        <w:rPr>
          <w:lang w:val="en-GB"/>
        </w:rPr>
        <w:t>Shell</w:t>
      </w:r>
      <w:r w:rsidR="00FB46B8">
        <w:rPr>
          <w:rStyle w:val="FootnoteReference"/>
          <w:lang w:val="en-GB"/>
        </w:rPr>
        <w:footnoteReference w:id="2"/>
      </w:r>
      <w:r w:rsidRPr="00B46093">
        <w:rPr>
          <w:lang w:val="en-GB"/>
        </w:rPr>
        <w:t xml:space="preserve"> advises that the Customer strives to first avoid</w:t>
      </w:r>
      <w:r w:rsidR="00614317">
        <w:rPr>
          <w:lang w:val="en-GB"/>
        </w:rPr>
        <w:t>,</w:t>
      </w:r>
      <w:r w:rsidRPr="00B46093">
        <w:rPr>
          <w:lang w:val="en-GB"/>
        </w:rPr>
        <w:t xml:space="preserve"> and second to reduce CO</w:t>
      </w:r>
      <w:r w:rsidRPr="00B46093">
        <w:rPr>
          <w:vertAlign w:val="subscript"/>
          <w:lang w:val="en-GB"/>
        </w:rPr>
        <w:t>2</w:t>
      </w:r>
      <w:r w:rsidR="00B46093" w:rsidRPr="00B46093">
        <w:rPr>
          <w:lang w:val="en-GB"/>
        </w:rPr>
        <w:t>e</w:t>
      </w:r>
      <w:r w:rsidRPr="00B46093">
        <w:rPr>
          <w:lang w:val="en-GB"/>
        </w:rPr>
        <w:t xml:space="preserve"> emissions</w:t>
      </w:r>
      <w:r w:rsidR="00614317">
        <w:rPr>
          <w:lang w:val="en-GB"/>
        </w:rPr>
        <w:t>,</w:t>
      </w:r>
      <w:r w:rsidRPr="00B46093">
        <w:rPr>
          <w:lang w:val="en-GB"/>
        </w:rPr>
        <w:t xml:space="preserve"> and to offset CO</w:t>
      </w:r>
      <w:r w:rsidRPr="00B46093">
        <w:rPr>
          <w:vertAlign w:val="subscript"/>
          <w:lang w:val="en-GB"/>
        </w:rPr>
        <w:t>2</w:t>
      </w:r>
      <w:r w:rsidR="00B46093" w:rsidRPr="00B46093">
        <w:rPr>
          <w:lang w:val="en-GB"/>
        </w:rPr>
        <w:t>e</w:t>
      </w:r>
      <w:r w:rsidRPr="00B46093">
        <w:rPr>
          <w:lang w:val="en-GB"/>
        </w:rPr>
        <w:t xml:space="preserve"> emissions only in those cases where the above-mentioned options are not feasible. This can be accomplished by </w:t>
      </w:r>
      <w:r w:rsidRPr="00B46093">
        <w:rPr>
          <w:highlight w:val="lightGray"/>
          <w:lang w:val="en-GB"/>
        </w:rPr>
        <w:t>using as little fuel as possible, for instance, through driving (partly) electric vehicles, improvement of energy efficiency of vehicles and improvement of driver behaviour</w:t>
      </w:r>
      <w:r w:rsidRPr="00B46093">
        <w:rPr>
          <w:lang w:val="en-GB"/>
        </w:rPr>
        <w:t>. At this moment it might not be possible to completely avoid or reduce CO</w:t>
      </w:r>
      <w:r w:rsidRPr="00B46093">
        <w:rPr>
          <w:vertAlign w:val="subscript"/>
          <w:lang w:val="en-GB"/>
        </w:rPr>
        <w:t>2</w:t>
      </w:r>
      <w:r w:rsidR="00B46093" w:rsidRPr="00B46093">
        <w:rPr>
          <w:lang w:val="en-GB"/>
        </w:rPr>
        <w:t>e</w:t>
      </w:r>
      <w:r w:rsidRPr="00B46093">
        <w:rPr>
          <w:lang w:val="en-GB"/>
        </w:rPr>
        <w:t xml:space="preserve"> emissions. Therefore, Shell offers the possibility to offset the remaining CO</w:t>
      </w:r>
      <w:r w:rsidRPr="00B46093">
        <w:rPr>
          <w:vertAlign w:val="subscript"/>
          <w:lang w:val="en-GB"/>
        </w:rPr>
        <w:t>2</w:t>
      </w:r>
      <w:r w:rsidR="00B46093" w:rsidRPr="00B46093">
        <w:rPr>
          <w:lang w:val="en-GB"/>
        </w:rPr>
        <w:t>e</w:t>
      </w:r>
      <w:r w:rsidRPr="00B46093">
        <w:rPr>
          <w:lang w:val="en-GB"/>
        </w:rPr>
        <w:t xml:space="preserve"> emissions by purchasing carbon credits</w:t>
      </w:r>
      <w:r w:rsidR="00906E90" w:rsidRPr="00B46093">
        <w:rPr>
          <w:lang w:val="en-GB"/>
        </w:rPr>
        <w:t xml:space="preserve"> to balance the full lifecycle emissions of the</w:t>
      </w:r>
      <w:r w:rsidR="00E63D76">
        <w:rPr>
          <w:lang w:val="en-GB"/>
        </w:rPr>
        <w:t xml:space="preserve"> Shell Helix</w:t>
      </w:r>
      <w:r w:rsidR="00BE309A">
        <w:rPr>
          <w:lang w:val="en-GB"/>
        </w:rPr>
        <w:t xml:space="preserve"> Carbon Neutral products</w:t>
      </w:r>
      <w:r w:rsidR="00E63D76">
        <w:rPr>
          <w:lang w:val="en-GB"/>
        </w:rPr>
        <w:t>.</w:t>
      </w:r>
    </w:p>
    <w:p w:rsidR="00906E90" w:rsidRPr="00B46093" w:rsidRDefault="00906E90" w:rsidP="00906E90">
      <w:pPr>
        <w:rPr>
          <w:color w:val="000000"/>
          <w:lang w:val="en-GB"/>
        </w:rPr>
      </w:pPr>
    </w:p>
    <w:p w:rsidR="004607A5" w:rsidRPr="00B46093" w:rsidRDefault="00906E90" w:rsidP="00906E90">
      <w:pPr>
        <w:pStyle w:val="ListParagraph"/>
        <w:numPr>
          <w:ilvl w:val="0"/>
          <w:numId w:val="24"/>
        </w:numPr>
        <w:ind w:left="180" w:hanging="180"/>
        <w:jc w:val="both"/>
      </w:pPr>
      <w:r w:rsidRPr="00B46093">
        <w:t xml:space="preserve">The term “Carbon Neutral”, </w:t>
      </w:r>
      <w:r w:rsidRPr="00B46093">
        <w:rPr>
          <w:color w:val="000000"/>
          <w:lang w:val="en-GB"/>
        </w:rPr>
        <w:t>indicate</w:t>
      </w:r>
      <w:r w:rsidR="00EE1A28">
        <w:rPr>
          <w:color w:val="000000"/>
          <w:lang w:val="en-GB"/>
        </w:rPr>
        <w:t>s</w:t>
      </w:r>
      <w:r w:rsidRPr="00B46093">
        <w:rPr>
          <w:color w:val="000000"/>
          <w:lang w:val="en-GB"/>
        </w:rPr>
        <w:t xml:space="preserve"> that Shell has engaged in a transaction </w:t>
      </w:r>
      <w:r w:rsidRPr="00B46093">
        <w:t xml:space="preserve">where </w:t>
      </w:r>
      <w:r w:rsidRPr="00B46093">
        <w:rPr>
          <w:color w:val="000000"/>
          <w:lang w:val="en-GB"/>
        </w:rPr>
        <w:t xml:space="preserve">an amount of carbon dioxide equivalent associated with the acquisition and pre-processing of raw materials, lubricants production, </w:t>
      </w:r>
      <w:r w:rsidR="00614317">
        <w:rPr>
          <w:color w:val="000000"/>
          <w:lang w:val="en-GB"/>
        </w:rPr>
        <w:t xml:space="preserve">packaging, </w:t>
      </w:r>
      <w:r w:rsidRPr="00B46093">
        <w:rPr>
          <w:color w:val="000000"/>
          <w:lang w:val="en-GB"/>
        </w:rPr>
        <w:t>distribution</w:t>
      </w:r>
      <w:r w:rsidR="00614317">
        <w:rPr>
          <w:color w:val="000000"/>
          <w:lang w:val="en-GB"/>
        </w:rPr>
        <w:t>,</w:t>
      </w:r>
      <w:r w:rsidRPr="00B46093">
        <w:rPr>
          <w:color w:val="000000"/>
          <w:lang w:val="en-GB"/>
        </w:rPr>
        <w:t xml:space="preserve"> and the subsequent use and end of life treatment of the used materials in relation to the </w:t>
      </w:r>
      <w:r w:rsidR="00CD009E">
        <w:rPr>
          <w:color w:val="000000"/>
          <w:lang w:val="en-GB"/>
        </w:rPr>
        <w:t>Shell Helix</w:t>
      </w:r>
      <w:r w:rsidR="00BE309A">
        <w:rPr>
          <w:color w:val="000000"/>
          <w:lang w:val="en-GB"/>
        </w:rPr>
        <w:t xml:space="preserve"> products</w:t>
      </w:r>
      <w:r w:rsidR="00614317">
        <w:rPr>
          <w:color w:val="000000"/>
          <w:lang w:val="en-GB"/>
        </w:rPr>
        <w:t>,</w:t>
      </w:r>
      <w:r w:rsidRPr="00B46093">
        <w:rPr>
          <w:color w:val="000000"/>
          <w:lang w:val="en-GB"/>
        </w:rPr>
        <w:t xml:space="preserve"> has been removed from the atmosphere through a nature based process</w:t>
      </w:r>
      <w:r w:rsidR="00614317">
        <w:rPr>
          <w:color w:val="000000"/>
          <w:lang w:val="en-GB"/>
        </w:rPr>
        <w:t>,</w:t>
      </w:r>
      <w:r w:rsidRPr="00B46093">
        <w:rPr>
          <w:color w:val="000000"/>
          <w:lang w:val="en-GB"/>
        </w:rPr>
        <w:t xml:space="preserve"> or emissions saved through avoided </w:t>
      </w:r>
      <w:r w:rsidR="00CD009E" w:rsidRPr="00071D34">
        <w:t>degradation of natural ecosystems</w:t>
      </w:r>
      <w:r w:rsidRPr="00B46093">
        <w:rPr>
          <w:color w:val="000000"/>
          <w:lang w:val="en-GB"/>
        </w:rPr>
        <w:t>.</w:t>
      </w:r>
    </w:p>
    <w:p w:rsidR="00906E90" w:rsidRPr="00B46093" w:rsidRDefault="00906E90" w:rsidP="00906E90">
      <w:pPr>
        <w:pStyle w:val="ListParagraph"/>
      </w:pPr>
    </w:p>
    <w:p w:rsidR="00906E90" w:rsidRPr="00B46093" w:rsidRDefault="00906E90" w:rsidP="00906E90">
      <w:pPr>
        <w:pStyle w:val="ListParagraph"/>
        <w:numPr>
          <w:ilvl w:val="0"/>
          <w:numId w:val="24"/>
        </w:numPr>
        <w:ind w:left="180" w:hanging="180"/>
        <w:jc w:val="both"/>
      </w:pPr>
      <w:r w:rsidRPr="00B46093">
        <w:rPr>
          <w:rFonts w:eastAsiaTheme="minorEastAsia" w:cstheme="minorHAnsi"/>
          <w:lang w:eastAsia="zh-CN"/>
        </w:rPr>
        <w:t>The calculation of CO</w:t>
      </w:r>
      <w:r w:rsidRPr="00B46093">
        <w:rPr>
          <w:rFonts w:eastAsiaTheme="minorEastAsia" w:cstheme="minorHAnsi"/>
          <w:vertAlign w:val="subscript"/>
          <w:lang w:eastAsia="zh-CN"/>
        </w:rPr>
        <w:t>2</w:t>
      </w:r>
      <w:r w:rsidR="00B46093" w:rsidRPr="00B46093">
        <w:rPr>
          <w:rFonts w:eastAsiaTheme="minorEastAsia" w:cstheme="minorHAnsi"/>
          <w:lang w:eastAsia="zh-CN"/>
        </w:rPr>
        <w:t>e</w:t>
      </w:r>
      <w:r w:rsidRPr="00B46093">
        <w:rPr>
          <w:rFonts w:eastAsiaTheme="minorEastAsia" w:cstheme="minorHAnsi"/>
          <w:lang w:eastAsia="zh-CN"/>
        </w:rPr>
        <w:t xml:space="preserve"> emissions is</w:t>
      </w:r>
      <w:bookmarkStart w:id="0" w:name="OpenAt"/>
      <w:bookmarkEnd w:id="0"/>
      <w:r w:rsidRPr="00B46093">
        <w:rPr>
          <w:rFonts w:eastAsiaTheme="minorEastAsia" w:cstheme="minorHAnsi"/>
          <w:lang w:eastAsia="zh-CN"/>
        </w:rPr>
        <w:t xml:space="preserve"> the result of multiplying the </w:t>
      </w:r>
      <w:r w:rsidR="0072324D" w:rsidRPr="00B46093">
        <w:rPr>
          <w:rFonts w:eastAsiaTheme="minorEastAsia" w:cstheme="minorHAnsi"/>
          <w:lang w:eastAsia="zh-CN"/>
        </w:rPr>
        <w:t>lit</w:t>
      </w:r>
      <w:r w:rsidR="0072324D">
        <w:rPr>
          <w:rFonts w:eastAsiaTheme="minorEastAsia" w:cstheme="minorHAnsi"/>
          <w:lang w:eastAsia="zh-CN"/>
        </w:rPr>
        <w:t>ers</w:t>
      </w:r>
      <w:r w:rsidRPr="00B46093">
        <w:rPr>
          <w:rFonts w:eastAsiaTheme="minorEastAsia" w:cstheme="minorHAnsi"/>
          <w:lang w:eastAsia="zh-CN"/>
        </w:rPr>
        <w:t xml:space="preserve"> of </w:t>
      </w:r>
      <w:r w:rsidR="00E63D76" w:rsidRPr="006B03AA">
        <w:rPr>
          <w:rFonts w:eastAsiaTheme="minorEastAsia" w:cstheme="minorHAnsi"/>
          <w:shd w:val="clear" w:color="auto" w:fill="D0CECE" w:themeFill="background2" w:themeFillShade="E6"/>
          <w:lang w:eastAsia="zh-CN"/>
        </w:rPr>
        <w:t>Shell Helix</w:t>
      </w:r>
      <w:r w:rsidR="0072324D" w:rsidRPr="006B03AA">
        <w:rPr>
          <w:rFonts w:eastAsiaTheme="minorEastAsia" w:cstheme="minorHAnsi"/>
          <w:shd w:val="clear" w:color="auto" w:fill="D0CECE" w:themeFill="background2" w:themeFillShade="E6"/>
          <w:lang w:eastAsia="zh-CN"/>
        </w:rPr>
        <w:t xml:space="preserve"> Carbon Neutral products</w:t>
      </w:r>
      <w:r w:rsidR="00E63D76">
        <w:rPr>
          <w:rFonts w:eastAsiaTheme="minorEastAsia" w:cstheme="minorHAnsi"/>
          <w:shd w:val="clear" w:color="auto" w:fill="D0CECE" w:themeFill="background2" w:themeFillShade="E6"/>
          <w:lang w:eastAsia="zh-CN"/>
        </w:rPr>
        <w:t xml:space="preserve"> </w:t>
      </w:r>
      <w:r w:rsidRPr="00B46093">
        <w:rPr>
          <w:rFonts w:eastAsiaTheme="minorEastAsia" w:cstheme="minorHAnsi"/>
          <w:lang w:eastAsia="zh-CN"/>
        </w:rPr>
        <w:t>purchased by the Customer</w:t>
      </w:r>
      <w:r w:rsidR="00CA244B">
        <w:rPr>
          <w:rFonts w:eastAsiaTheme="minorEastAsia" w:cstheme="minorHAnsi"/>
          <w:lang w:eastAsia="zh-CN"/>
        </w:rPr>
        <w:t xml:space="preserve"> in the respective market</w:t>
      </w:r>
      <w:r w:rsidR="00EE1A28">
        <w:rPr>
          <w:rFonts w:eastAsiaTheme="minorEastAsia" w:cstheme="minorHAnsi"/>
          <w:lang w:eastAsia="zh-CN"/>
        </w:rPr>
        <w:t>,</w:t>
      </w:r>
      <w:r w:rsidRPr="00B46093">
        <w:rPr>
          <w:rFonts w:eastAsiaTheme="minorEastAsia" w:cstheme="minorHAnsi"/>
          <w:lang w:eastAsia="zh-CN"/>
        </w:rPr>
        <w:t xml:space="preserve"> by the applicable emission factors.</w:t>
      </w:r>
    </w:p>
    <w:p w:rsidR="00906E90" w:rsidRPr="00B46093" w:rsidRDefault="00906E90" w:rsidP="00906E90">
      <w:pPr>
        <w:pStyle w:val="ListParagraph"/>
      </w:pPr>
    </w:p>
    <w:p w:rsidR="00906E90" w:rsidRPr="00453CCE" w:rsidRDefault="00906E90" w:rsidP="00453CCE">
      <w:pPr>
        <w:pStyle w:val="ListParagraph"/>
        <w:numPr>
          <w:ilvl w:val="0"/>
          <w:numId w:val="24"/>
        </w:numPr>
        <w:ind w:left="180" w:hanging="180"/>
        <w:jc w:val="both"/>
        <w:rPr>
          <w:rFonts w:eastAsiaTheme="minorEastAsia" w:cstheme="minorHAnsi"/>
          <w:lang w:eastAsia="zh-CN"/>
        </w:rPr>
      </w:pPr>
      <w:r w:rsidRPr="00453CCE">
        <w:rPr>
          <w:rFonts w:eastAsiaTheme="minorEastAsia" w:cstheme="minorHAnsi"/>
          <w:lang w:eastAsia="zh-CN"/>
        </w:rPr>
        <w:t>Currently there are no standard emission factors</w:t>
      </w:r>
      <w:r w:rsidR="00A32BDC">
        <w:rPr>
          <w:rFonts w:eastAsiaTheme="minorEastAsia" w:cstheme="minorHAnsi"/>
          <w:lang w:eastAsia="zh-CN"/>
        </w:rPr>
        <w:t xml:space="preserve"> or product category rules</w:t>
      </w:r>
      <w:r w:rsidRPr="00453CCE">
        <w:rPr>
          <w:rFonts w:eastAsiaTheme="minorEastAsia" w:cstheme="minorHAnsi"/>
          <w:lang w:eastAsia="zh-CN"/>
        </w:rPr>
        <w:t xml:space="preserve"> available to describe emissions throughout the full life cycle of </w:t>
      </w:r>
      <w:r w:rsidR="00E63D76">
        <w:rPr>
          <w:rFonts w:eastAsiaTheme="minorEastAsia" w:cstheme="minorHAnsi"/>
          <w:lang w:eastAsia="zh-CN"/>
        </w:rPr>
        <w:t xml:space="preserve">Shell Helix. </w:t>
      </w:r>
      <w:r w:rsidRPr="00453CCE">
        <w:rPr>
          <w:rFonts w:eastAsiaTheme="minorEastAsia" w:cstheme="minorHAnsi"/>
          <w:lang w:eastAsia="zh-CN"/>
        </w:rPr>
        <w:t xml:space="preserve">As a result, Shell’s </w:t>
      </w:r>
      <w:r w:rsidR="00420683">
        <w:rPr>
          <w:rFonts w:eastAsiaTheme="minorEastAsia" w:cstheme="minorHAnsi"/>
          <w:lang w:eastAsia="zh-CN"/>
        </w:rPr>
        <w:t>l</w:t>
      </w:r>
      <w:r w:rsidR="00CA244B">
        <w:rPr>
          <w:rFonts w:eastAsiaTheme="minorEastAsia" w:cstheme="minorHAnsi"/>
          <w:lang w:eastAsia="zh-CN"/>
        </w:rPr>
        <w:t xml:space="preserve">ife </w:t>
      </w:r>
      <w:r w:rsidR="00420683">
        <w:rPr>
          <w:rFonts w:eastAsiaTheme="minorEastAsia" w:cstheme="minorHAnsi"/>
          <w:lang w:eastAsia="zh-CN"/>
        </w:rPr>
        <w:t>c</w:t>
      </w:r>
      <w:r w:rsidR="00CA244B">
        <w:rPr>
          <w:rFonts w:eastAsiaTheme="minorEastAsia" w:cstheme="minorHAnsi"/>
          <w:lang w:eastAsia="zh-CN"/>
        </w:rPr>
        <w:t xml:space="preserve">ycle </w:t>
      </w:r>
      <w:r w:rsidR="00420683">
        <w:rPr>
          <w:rFonts w:eastAsiaTheme="minorEastAsia" w:cstheme="minorHAnsi"/>
          <w:lang w:eastAsia="zh-CN"/>
        </w:rPr>
        <w:t>a</w:t>
      </w:r>
      <w:r w:rsidR="00CA244B">
        <w:rPr>
          <w:rFonts w:eastAsiaTheme="minorEastAsia" w:cstheme="minorHAnsi"/>
          <w:lang w:eastAsia="zh-CN"/>
        </w:rPr>
        <w:t xml:space="preserve">ssessment (LCA) </w:t>
      </w:r>
      <w:r w:rsidRPr="00453CCE">
        <w:rPr>
          <w:rFonts w:eastAsiaTheme="minorEastAsia" w:cstheme="minorHAnsi"/>
          <w:lang w:eastAsia="zh-CN"/>
        </w:rPr>
        <w:t>calculation</w:t>
      </w:r>
      <w:r w:rsidR="00420683">
        <w:rPr>
          <w:rFonts w:eastAsiaTheme="minorEastAsia" w:cstheme="minorHAnsi"/>
          <w:lang w:eastAsia="zh-CN"/>
        </w:rPr>
        <w:t>s</w:t>
      </w:r>
      <w:r w:rsidR="00A32BDC">
        <w:rPr>
          <w:rFonts w:eastAsiaTheme="minorEastAsia" w:cstheme="minorHAnsi"/>
          <w:lang w:eastAsia="zh-CN"/>
        </w:rPr>
        <w:t xml:space="preserve"> </w:t>
      </w:r>
      <w:r w:rsidR="00420683">
        <w:rPr>
          <w:rFonts w:eastAsiaTheme="minorEastAsia" w:cstheme="minorHAnsi"/>
          <w:lang w:eastAsia="zh-CN"/>
        </w:rPr>
        <w:t>are</w:t>
      </w:r>
      <w:r w:rsidR="00420683" w:rsidRPr="00453CCE">
        <w:rPr>
          <w:rFonts w:eastAsiaTheme="minorEastAsia" w:cstheme="minorHAnsi"/>
          <w:lang w:eastAsia="zh-CN"/>
        </w:rPr>
        <w:t xml:space="preserve"> </w:t>
      </w:r>
      <w:r w:rsidRPr="00453CCE">
        <w:rPr>
          <w:rFonts w:eastAsiaTheme="minorEastAsia" w:cstheme="minorHAnsi"/>
          <w:lang w:eastAsia="zh-CN"/>
        </w:rPr>
        <w:t>based on emission factors that are typically obtained from the following sources: Shell internal studie</w:t>
      </w:r>
      <w:r w:rsidR="00E93374">
        <w:rPr>
          <w:rFonts w:eastAsiaTheme="minorEastAsia" w:cstheme="minorHAnsi"/>
          <w:lang w:eastAsia="zh-CN"/>
        </w:rPr>
        <w:t>s</w:t>
      </w:r>
      <w:r w:rsidRPr="00453CCE">
        <w:rPr>
          <w:rFonts w:eastAsiaTheme="minorEastAsia" w:cstheme="minorHAnsi"/>
          <w:lang w:eastAsia="zh-CN"/>
        </w:rPr>
        <w:t xml:space="preserve">, external consultants, acknowledged </w:t>
      </w:r>
      <w:r w:rsidR="00E93374">
        <w:rPr>
          <w:rFonts w:eastAsiaTheme="minorEastAsia" w:cstheme="minorHAnsi"/>
          <w:lang w:eastAsia="zh-CN"/>
        </w:rPr>
        <w:t>life cycle inventory</w:t>
      </w:r>
      <w:r w:rsidR="00E93374" w:rsidRPr="00453CCE">
        <w:rPr>
          <w:rFonts w:eastAsiaTheme="minorEastAsia" w:cstheme="minorHAnsi"/>
          <w:lang w:eastAsia="zh-CN"/>
        </w:rPr>
        <w:t xml:space="preserve"> </w:t>
      </w:r>
      <w:r w:rsidRPr="00453CCE">
        <w:rPr>
          <w:rFonts w:eastAsiaTheme="minorEastAsia" w:cstheme="minorHAnsi"/>
          <w:lang w:eastAsia="zh-CN"/>
        </w:rPr>
        <w:t xml:space="preserve">databases </w:t>
      </w:r>
      <w:r w:rsidR="00420683">
        <w:rPr>
          <w:rFonts w:eastAsiaTheme="minorEastAsia" w:cstheme="minorHAnsi"/>
          <w:lang w:eastAsia="zh-CN"/>
        </w:rPr>
        <w:t>and</w:t>
      </w:r>
      <w:r w:rsidRPr="00453CCE">
        <w:rPr>
          <w:rFonts w:eastAsiaTheme="minorEastAsia" w:cstheme="minorHAnsi"/>
          <w:lang w:eastAsia="zh-CN"/>
        </w:rPr>
        <w:t xml:space="preserve"> public literature</w:t>
      </w:r>
      <w:r w:rsidR="00420683">
        <w:rPr>
          <w:rFonts w:eastAsiaTheme="minorEastAsia" w:cstheme="minorHAnsi"/>
          <w:lang w:eastAsia="zh-CN"/>
        </w:rPr>
        <w:t xml:space="preserve">. </w:t>
      </w:r>
      <w:r w:rsidR="00A32BDC">
        <w:rPr>
          <w:rFonts w:eastAsiaTheme="minorEastAsia" w:cstheme="minorHAnsi"/>
          <w:lang w:eastAsia="zh-CN"/>
        </w:rPr>
        <w:t>N</w:t>
      </w:r>
      <w:r w:rsidRPr="00453CCE">
        <w:rPr>
          <w:rFonts w:eastAsiaTheme="minorEastAsia" w:cstheme="minorHAnsi"/>
          <w:lang w:eastAsia="zh-CN"/>
        </w:rPr>
        <w:t xml:space="preserve">ational and international </w:t>
      </w:r>
      <w:r w:rsidR="00E93374">
        <w:rPr>
          <w:rFonts w:eastAsiaTheme="minorEastAsia" w:cstheme="minorHAnsi"/>
          <w:lang w:eastAsia="zh-CN"/>
        </w:rPr>
        <w:t>standards</w:t>
      </w:r>
      <w:r w:rsidR="00E93374" w:rsidRPr="00453CCE">
        <w:rPr>
          <w:rFonts w:eastAsiaTheme="minorEastAsia" w:cstheme="minorHAnsi"/>
          <w:lang w:eastAsia="zh-CN"/>
        </w:rPr>
        <w:t xml:space="preserve"> </w:t>
      </w:r>
      <w:r w:rsidR="00E93374">
        <w:rPr>
          <w:rFonts w:eastAsiaTheme="minorEastAsia" w:cstheme="minorHAnsi"/>
          <w:lang w:eastAsia="zh-CN"/>
        </w:rPr>
        <w:t>as well as</w:t>
      </w:r>
      <w:r w:rsidRPr="00453CCE">
        <w:rPr>
          <w:rFonts w:eastAsiaTheme="minorEastAsia" w:cstheme="minorHAnsi"/>
          <w:lang w:eastAsia="zh-CN"/>
        </w:rPr>
        <w:t xml:space="preserve"> industry best practices</w:t>
      </w:r>
      <w:r w:rsidR="00E93374">
        <w:rPr>
          <w:rFonts w:eastAsiaTheme="minorEastAsia" w:cstheme="minorHAnsi"/>
          <w:lang w:eastAsia="zh-CN"/>
        </w:rPr>
        <w:t xml:space="preserve"> were followed in deriving the full life cycle emissions of Shell Helix in CO</w:t>
      </w:r>
      <w:r w:rsidR="00E93374" w:rsidRPr="00996F7E">
        <w:rPr>
          <w:rFonts w:eastAsiaTheme="minorEastAsia" w:cstheme="minorHAnsi"/>
          <w:vertAlign w:val="subscript"/>
          <w:lang w:eastAsia="zh-CN"/>
        </w:rPr>
        <w:t>2</w:t>
      </w:r>
      <w:r w:rsidR="00E93374">
        <w:rPr>
          <w:rFonts w:eastAsiaTheme="minorEastAsia" w:cstheme="minorHAnsi"/>
          <w:lang w:eastAsia="zh-CN"/>
        </w:rPr>
        <w:t>e</w:t>
      </w:r>
      <w:r w:rsidRPr="00453CCE">
        <w:rPr>
          <w:rFonts w:eastAsiaTheme="minorEastAsia" w:cstheme="minorHAnsi"/>
          <w:lang w:eastAsia="zh-CN"/>
        </w:rPr>
        <w:t xml:space="preserve">. </w:t>
      </w:r>
      <w:r w:rsidR="00E93374">
        <w:rPr>
          <w:rFonts w:eastAsiaTheme="minorEastAsia" w:cstheme="minorHAnsi"/>
          <w:lang w:eastAsia="zh-CN"/>
        </w:rPr>
        <w:t>The underlying model has been subjected to an independent critical review and the</w:t>
      </w:r>
      <w:r w:rsidRPr="00453CCE">
        <w:rPr>
          <w:rFonts w:eastAsiaTheme="minorEastAsia" w:cstheme="minorHAnsi"/>
          <w:lang w:eastAsia="zh-CN"/>
        </w:rPr>
        <w:t xml:space="preserve"> associated processes have been independently reviewed by an external, accredited verification body</w:t>
      </w:r>
      <w:r w:rsidR="00237D37" w:rsidRPr="00453CCE">
        <w:rPr>
          <w:rFonts w:eastAsiaTheme="minorEastAsia" w:cstheme="minorHAnsi"/>
          <w:lang w:eastAsia="zh-CN"/>
        </w:rPr>
        <w:t>.</w:t>
      </w:r>
      <w:r w:rsidR="00CA0F76" w:rsidRPr="00453CCE">
        <w:rPr>
          <w:rFonts w:eastAsiaTheme="minorEastAsia" w:cstheme="minorHAnsi"/>
          <w:lang w:eastAsia="zh-CN"/>
        </w:rPr>
        <w:t xml:space="preserve"> </w:t>
      </w:r>
    </w:p>
    <w:p w:rsidR="00453CCE" w:rsidRPr="00B46093" w:rsidRDefault="00453CCE" w:rsidP="00B46093">
      <w:pPr>
        <w:pStyle w:val="ListParagraph"/>
        <w:ind w:left="180"/>
        <w:jc w:val="both"/>
      </w:pPr>
    </w:p>
    <w:p w:rsidR="00240AD0" w:rsidRPr="00D069F3" w:rsidRDefault="00906E90" w:rsidP="00D069F3">
      <w:pPr>
        <w:pStyle w:val="ListParagraph"/>
        <w:numPr>
          <w:ilvl w:val="0"/>
          <w:numId w:val="24"/>
        </w:numPr>
        <w:ind w:left="180" w:hanging="180"/>
        <w:jc w:val="both"/>
        <w:rPr>
          <w:rFonts w:eastAsiaTheme="minorEastAsia" w:cstheme="minorHAnsi"/>
          <w:lang w:eastAsia="zh-CN"/>
        </w:rPr>
      </w:pPr>
      <w:r w:rsidRPr="00D069F3">
        <w:rPr>
          <w:rFonts w:eastAsiaTheme="minorEastAsia" w:cstheme="minorHAnsi"/>
          <w:lang w:eastAsia="zh-CN"/>
        </w:rPr>
        <w:t>Shell offsets the</w:t>
      </w:r>
      <w:r w:rsidR="00B46093" w:rsidRPr="00B46093">
        <w:rPr>
          <w:rFonts w:eastAsiaTheme="minorEastAsia" w:cstheme="minorHAnsi"/>
          <w:lang w:eastAsia="zh-CN"/>
        </w:rPr>
        <w:t xml:space="preserve"> CO</w:t>
      </w:r>
      <w:r w:rsidR="00B46093" w:rsidRPr="00E66EAC">
        <w:rPr>
          <w:rFonts w:eastAsiaTheme="minorEastAsia" w:cstheme="minorHAnsi"/>
          <w:vertAlign w:val="subscript"/>
          <w:lang w:eastAsia="zh-CN"/>
        </w:rPr>
        <w:t>2</w:t>
      </w:r>
      <w:r w:rsidR="00B46093" w:rsidRPr="00B46093">
        <w:rPr>
          <w:rFonts w:eastAsiaTheme="minorEastAsia" w:cstheme="minorHAnsi"/>
          <w:lang w:eastAsia="zh-CN"/>
        </w:rPr>
        <w:t>e</w:t>
      </w:r>
      <w:r w:rsidRPr="00D069F3">
        <w:rPr>
          <w:rFonts w:eastAsiaTheme="minorEastAsia" w:cstheme="minorHAnsi"/>
          <w:lang w:eastAsia="zh-CN"/>
        </w:rPr>
        <w:t xml:space="preserve"> emissions resulting from the </w:t>
      </w:r>
      <w:r w:rsidR="00237D37" w:rsidRPr="00D069F3">
        <w:rPr>
          <w:rFonts w:eastAsiaTheme="minorEastAsia" w:cstheme="minorHAnsi"/>
          <w:lang w:eastAsia="zh-CN"/>
        </w:rPr>
        <w:t xml:space="preserve">full </w:t>
      </w:r>
      <w:r w:rsidRPr="00D069F3">
        <w:rPr>
          <w:rFonts w:eastAsiaTheme="minorEastAsia" w:cstheme="minorHAnsi"/>
          <w:lang w:eastAsia="zh-CN"/>
        </w:rPr>
        <w:t xml:space="preserve">lifecycle of </w:t>
      </w:r>
      <w:r w:rsidR="00E63D76">
        <w:rPr>
          <w:rFonts w:eastAsiaTheme="minorEastAsia" w:cstheme="minorHAnsi"/>
          <w:lang w:eastAsia="zh-CN"/>
        </w:rPr>
        <w:t>Shell Helix</w:t>
      </w:r>
      <w:r w:rsidR="00240AD0" w:rsidRPr="00D069F3">
        <w:rPr>
          <w:rFonts w:eastAsiaTheme="minorEastAsia" w:cstheme="minorHAnsi"/>
          <w:lang w:eastAsia="zh-CN"/>
        </w:rPr>
        <w:t xml:space="preserve"> by using verified carbon credits. A carbon credit represents the avoidance or removal of 1 </w:t>
      </w:r>
      <w:proofErr w:type="spellStart"/>
      <w:r w:rsidR="00240AD0" w:rsidRPr="00D069F3">
        <w:rPr>
          <w:rFonts w:eastAsiaTheme="minorEastAsia" w:cstheme="minorHAnsi"/>
          <w:lang w:eastAsia="zh-CN"/>
        </w:rPr>
        <w:t>tonne</w:t>
      </w:r>
      <w:proofErr w:type="spellEnd"/>
      <w:r w:rsidR="00240AD0" w:rsidRPr="00D069F3">
        <w:rPr>
          <w:rFonts w:eastAsiaTheme="minorEastAsia" w:cstheme="minorHAnsi"/>
          <w:lang w:eastAsia="zh-CN"/>
        </w:rPr>
        <w:t xml:space="preserve"> of carbon dioxide. These credits are traded among governments and businesses. In order to ensure the quality and integrity of carbon credits, there is a robust </w:t>
      </w:r>
      <w:proofErr w:type="spellStart"/>
      <w:r w:rsidR="00240AD0" w:rsidRPr="00D069F3">
        <w:rPr>
          <w:rFonts w:eastAsiaTheme="minorEastAsia" w:cstheme="minorHAnsi"/>
          <w:lang w:eastAsia="zh-CN"/>
        </w:rPr>
        <w:t>programme</w:t>
      </w:r>
      <w:proofErr w:type="spellEnd"/>
      <w:r w:rsidR="00240AD0" w:rsidRPr="00D069F3">
        <w:rPr>
          <w:rFonts w:eastAsiaTheme="minorEastAsia" w:cstheme="minorHAnsi"/>
          <w:lang w:eastAsia="zh-CN"/>
        </w:rPr>
        <w:t xml:space="preserve"> of third-party standards, verification processes and registries.</w:t>
      </w:r>
    </w:p>
    <w:p w:rsidR="00240AD0" w:rsidRPr="00B46093" w:rsidRDefault="00240AD0" w:rsidP="00240AD0">
      <w:pPr>
        <w:pStyle w:val="ListParagraph"/>
      </w:pPr>
    </w:p>
    <w:p w:rsidR="00906E90" w:rsidRPr="00B46093" w:rsidRDefault="00240AD0" w:rsidP="00906E90">
      <w:pPr>
        <w:pStyle w:val="ListParagraph"/>
        <w:numPr>
          <w:ilvl w:val="0"/>
          <w:numId w:val="24"/>
        </w:numPr>
        <w:ind w:left="180" w:hanging="180"/>
        <w:jc w:val="both"/>
      </w:pPr>
      <w:r w:rsidRPr="00B46093">
        <w:t xml:space="preserve">Shell and its </w:t>
      </w:r>
      <w:r w:rsidR="006B6FBA">
        <w:t>subsidiaries</w:t>
      </w:r>
      <w:r w:rsidRPr="00B46093">
        <w:t xml:space="preserve"> are not liable in any way for any loss, damages or expenses arising from the calculation of the carbon offsets.</w:t>
      </w:r>
    </w:p>
    <w:p w:rsidR="00240AD0" w:rsidRPr="00B46093" w:rsidRDefault="00240AD0" w:rsidP="00240AD0">
      <w:pPr>
        <w:pStyle w:val="ListParagraph"/>
      </w:pPr>
    </w:p>
    <w:p w:rsidR="00240AD0" w:rsidRPr="00B46093" w:rsidRDefault="00240AD0" w:rsidP="00240AD0">
      <w:pPr>
        <w:pStyle w:val="ListParagraph"/>
        <w:numPr>
          <w:ilvl w:val="0"/>
          <w:numId w:val="24"/>
        </w:numPr>
        <w:ind w:left="180" w:hanging="180"/>
        <w:jc w:val="both"/>
      </w:pPr>
      <w:r w:rsidRPr="00B46093">
        <w:rPr>
          <w:lang w:val="en-GB"/>
        </w:rPr>
        <w:t>Carbon credits can be counted only once;</w:t>
      </w:r>
      <w:r w:rsidRPr="00B46093">
        <w:rPr>
          <w:rFonts w:cstheme="minorHAnsi"/>
        </w:rPr>
        <w:t xml:space="preserve"> Shell make</w:t>
      </w:r>
      <w:r w:rsidR="00A7623D" w:rsidRPr="00B46093">
        <w:rPr>
          <w:rFonts w:cstheme="minorHAnsi"/>
        </w:rPr>
        <w:t>s no</w:t>
      </w:r>
      <w:r w:rsidRPr="00B46093">
        <w:rPr>
          <w:rFonts w:cstheme="minorHAnsi"/>
        </w:rPr>
        <w:t xml:space="preserve"> representation</w:t>
      </w:r>
      <w:r w:rsidR="00A7623D" w:rsidRPr="00B46093">
        <w:rPr>
          <w:rFonts w:cstheme="minorHAnsi"/>
        </w:rPr>
        <w:t>s or warranties</w:t>
      </w:r>
      <w:r w:rsidRPr="00B46093">
        <w:rPr>
          <w:rFonts w:cstheme="minorHAnsi"/>
        </w:rPr>
        <w:t xml:space="preserve"> that carbon offsets offered will satisfy the requirements or expectations of any reporting standards </w:t>
      </w:r>
      <w:r w:rsidRPr="00B46093">
        <w:rPr>
          <w:lang w:val="en-GB"/>
        </w:rPr>
        <w:t xml:space="preserve">that are in force at </w:t>
      </w:r>
      <w:r w:rsidRPr="00996F7E">
        <w:rPr>
          <w:lang w:val="en-GB"/>
        </w:rPr>
        <w:t xml:space="preserve">the </w:t>
      </w:r>
      <w:r w:rsidR="002A1043" w:rsidRPr="00996F7E">
        <w:rPr>
          <w:lang w:val="en-GB"/>
        </w:rPr>
        <w:t>1</w:t>
      </w:r>
      <w:r w:rsidR="002A1043" w:rsidRPr="00996F7E">
        <w:rPr>
          <w:vertAlign w:val="superscript"/>
          <w:lang w:val="en-GB"/>
        </w:rPr>
        <w:t>st</w:t>
      </w:r>
      <w:r w:rsidR="002A1043" w:rsidRPr="00996F7E">
        <w:rPr>
          <w:lang w:val="en-GB"/>
        </w:rPr>
        <w:t xml:space="preserve"> of </w:t>
      </w:r>
      <w:r w:rsidR="00996F7E" w:rsidRPr="00996F7E">
        <w:rPr>
          <w:lang w:val="en-GB"/>
        </w:rPr>
        <w:t>February</w:t>
      </w:r>
      <w:r w:rsidR="002A1043">
        <w:rPr>
          <w:lang w:val="en-GB"/>
        </w:rPr>
        <w:t xml:space="preserve"> 202</w:t>
      </w:r>
      <w:r w:rsidR="00996F7E">
        <w:rPr>
          <w:lang w:val="en-GB"/>
        </w:rPr>
        <w:t>1</w:t>
      </w:r>
      <w:r w:rsidRPr="00B46093">
        <w:rPr>
          <w:lang w:val="en-GB"/>
        </w:rPr>
        <w:t xml:space="preserve"> such as the GHG Protocol or under ISO 14064</w:t>
      </w:r>
      <w:r w:rsidR="00A7623D" w:rsidRPr="00B46093">
        <w:rPr>
          <w:lang w:val="en-GB"/>
        </w:rPr>
        <w:t>. The carbon offsets may be used by Shell to calculate annual progress against its Net Carbon Footprint</w:t>
      </w:r>
      <w:r w:rsidR="00FB46B8">
        <w:rPr>
          <w:rStyle w:val="FootnoteReference"/>
          <w:lang w:val="en-GB"/>
        </w:rPr>
        <w:footnoteReference w:id="3"/>
      </w:r>
      <w:r w:rsidR="00A7623D" w:rsidRPr="00B46093">
        <w:rPr>
          <w:lang w:val="en-GB"/>
        </w:rPr>
        <w:t xml:space="preserve"> ambition. Shell </w:t>
      </w:r>
      <w:r w:rsidR="00E66EAC">
        <w:rPr>
          <w:lang w:val="en-GB"/>
        </w:rPr>
        <w:t xml:space="preserve">retires </w:t>
      </w:r>
      <w:r w:rsidR="00A7623D" w:rsidRPr="00B46093">
        <w:rPr>
          <w:lang w:val="en-GB"/>
        </w:rPr>
        <w:t>the carbon credits associated with the total CO</w:t>
      </w:r>
      <w:r w:rsidR="00A7623D" w:rsidRPr="00B46093">
        <w:rPr>
          <w:vertAlign w:val="subscript"/>
          <w:lang w:val="en-GB"/>
        </w:rPr>
        <w:t>2</w:t>
      </w:r>
      <w:r w:rsidR="00B46093" w:rsidRPr="00B46093">
        <w:rPr>
          <w:lang w:val="en-GB"/>
        </w:rPr>
        <w:t>e</w:t>
      </w:r>
      <w:r w:rsidR="00A7623D" w:rsidRPr="00B46093">
        <w:rPr>
          <w:lang w:val="en-GB"/>
        </w:rPr>
        <w:t xml:space="preserve"> emissions</w:t>
      </w:r>
      <w:r w:rsidR="00E66EAC">
        <w:rPr>
          <w:lang w:val="en-GB"/>
        </w:rPr>
        <w:t xml:space="preserve"> from carbon neutral products</w:t>
      </w:r>
      <w:r w:rsidR="00A7623D" w:rsidRPr="00B46093">
        <w:rPr>
          <w:lang w:val="en-GB"/>
        </w:rPr>
        <w:t xml:space="preserve"> generated during </w:t>
      </w:r>
      <w:r w:rsidR="006D58FC" w:rsidRPr="00B46093">
        <w:rPr>
          <w:lang w:val="en-GB"/>
        </w:rPr>
        <w:t>a</w:t>
      </w:r>
      <w:r w:rsidR="00A7623D" w:rsidRPr="00B46093">
        <w:rPr>
          <w:lang w:val="en-GB"/>
        </w:rPr>
        <w:t xml:space="preserve"> calendar year </w:t>
      </w:r>
      <w:r w:rsidR="006D58FC" w:rsidRPr="00B46093">
        <w:rPr>
          <w:lang w:val="en-GB"/>
        </w:rPr>
        <w:t>annually</w:t>
      </w:r>
      <w:r w:rsidR="00A7623D" w:rsidRPr="00B46093">
        <w:rPr>
          <w:lang w:val="en-GB"/>
        </w:rPr>
        <w:t>, within 3 months after the end of the calendar year.</w:t>
      </w:r>
    </w:p>
    <w:p w:rsidR="00A7623D" w:rsidRPr="00B46093" w:rsidRDefault="00A7623D" w:rsidP="00A7623D">
      <w:pPr>
        <w:pStyle w:val="ListParagraph"/>
      </w:pPr>
    </w:p>
    <w:p w:rsidR="00A7623D" w:rsidRPr="00B46093" w:rsidRDefault="00A7623D" w:rsidP="00240AD0">
      <w:pPr>
        <w:pStyle w:val="ListParagraph"/>
        <w:numPr>
          <w:ilvl w:val="0"/>
          <w:numId w:val="24"/>
        </w:numPr>
        <w:ind w:left="180" w:hanging="180"/>
        <w:jc w:val="both"/>
      </w:pPr>
      <w:r w:rsidRPr="00B46093">
        <w:rPr>
          <w:spacing w:val="1"/>
          <w:position w:val="1"/>
        </w:rPr>
        <w:t>The</w:t>
      </w:r>
      <w:r w:rsidRPr="00B46093">
        <w:rPr>
          <w:spacing w:val="12"/>
          <w:position w:val="1"/>
        </w:rPr>
        <w:t xml:space="preserve"> </w:t>
      </w:r>
      <w:r w:rsidRPr="00B46093">
        <w:rPr>
          <w:spacing w:val="-1"/>
          <w:position w:val="1"/>
        </w:rPr>
        <w:t>calculations</w:t>
      </w:r>
      <w:r w:rsidRPr="00B46093">
        <w:rPr>
          <w:spacing w:val="15"/>
          <w:position w:val="1"/>
        </w:rPr>
        <w:t xml:space="preserve"> </w:t>
      </w:r>
      <w:r w:rsidRPr="00B46093">
        <w:rPr>
          <w:position w:val="1"/>
        </w:rPr>
        <w:t>of</w:t>
      </w:r>
      <w:r w:rsidRPr="00B46093">
        <w:rPr>
          <w:spacing w:val="16"/>
          <w:position w:val="1"/>
        </w:rPr>
        <w:t xml:space="preserve"> </w:t>
      </w:r>
      <w:r w:rsidR="00B46093" w:rsidRPr="00B46093">
        <w:rPr>
          <w:lang w:val="en-GB"/>
        </w:rPr>
        <w:t>CO</w:t>
      </w:r>
      <w:r w:rsidR="00B46093" w:rsidRPr="00B46093">
        <w:rPr>
          <w:vertAlign w:val="subscript"/>
          <w:lang w:val="en-GB"/>
        </w:rPr>
        <w:t>2</w:t>
      </w:r>
      <w:r w:rsidR="00B46093" w:rsidRPr="00B46093">
        <w:rPr>
          <w:lang w:val="en-GB"/>
        </w:rPr>
        <w:t>e</w:t>
      </w:r>
      <w:r w:rsidRPr="00B46093">
        <w:rPr>
          <w:spacing w:val="1"/>
        </w:rPr>
        <w:t xml:space="preserve"> </w:t>
      </w:r>
      <w:r w:rsidRPr="00B46093">
        <w:rPr>
          <w:position w:val="1"/>
        </w:rPr>
        <w:t>emissions</w:t>
      </w:r>
      <w:r w:rsidRPr="00B46093">
        <w:rPr>
          <w:spacing w:val="15"/>
          <w:position w:val="1"/>
        </w:rPr>
        <w:t xml:space="preserve"> </w:t>
      </w:r>
      <w:r w:rsidRPr="00B46093">
        <w:rPr>
          <w:spacing w:val="1"/>
          <w:position w:val="1"/>
        </w:rPr>
        <w:t>may</w:t>
      </w:r>
      <w:r w:rsidRPr="00B46093">
        <w:rPr>
          <w:spacing w:val="11"/>
          <w:position w:val="1"/>
        </w:rPr>
        <w:t xml:space="preserve"> </w:t>
      </w:r>
      <w:r w:rsidRPr="00B46093">
        <w:rPr>
          <w:position w:val="1"/>
        </w:rPr>
        <w:t>be</w:t>
      </w:r>
      <w:r w:rsidRPr="00B46093">
        <w:rPr>
          <w:spacing w:val="13"/>
          <w:position w:val="1"/>
        </w:rPr>
        <w:t xml:space="preserve"> </w:t>
      </w:r>
      <w:r w:rsidRPr="00B46093">
        <w:rPr>
          <w:position w:val="1"/>
        </w:rPr>
        <w:t>subject</w:t>
      </w:r>
      <w:r w:rsidRPr="00B46093">
        <w:rPr>
          <w:spacing w:val="13"/>
          <w:position w:val="1"/>
        </w:rPr>
        <w:t xml:space="preserve"> </w:t>
      </w:r>
      <w:r w:rsidRPr="00B46093">
        <w:rPr>
          <w:spacing w:val="1"/>
          <w:position w:val="1"/>
        </w:rPr>
        <w:t>to</w:t>
      </w:r>
      <w:r w:rsidRPr="00B46093">
        <w:rPr>
          <w:spacing w:val="14"/>
          <w:position w:val="1"/>
        </w:rPr>
        <w:t xml:space="preserve"> </w:t>
      </w:r>
      <w:r w:rsidRPr="00B46093">
        <w:rPr>
          <w:position w:val="1"/>
        </w:rPr>
        <w:t>change</w:t>
      </w:r>
      <w:r w:rsidRPr="00B46093">
        <w:rPr>
          <w:spacing w:val="15"/>
          <w:position w:val="1"/>
        </w:rPr>
        <w:t xml:space="preserve"> </w:t>
      </w:r>
      <w:r w:rsidRPr="00B46093">
        <w:rPr>
          <w:position w:val="1"/>
        </w:rPr>
        <w:t>as</w:t>
      </w:r>
      <w:r w:rsidRPr="00B46093">
        <w:rPr>
          <w:spacing w:val="15"/>
          <w:position w:val="1"/>
        </w:rPr>
        <w:t xml:space="preserve"> </w:t>
      </w:r>
      <w:r w:rsidRPr="00B46093">
        <w:rPr>
          <w:position w:val="1"/>
        </w:rPr>
        <w:t>a</w:t>
      </w:r>
      <w:r w:rsidRPr="00B46093">
        <w:rPr>
          <w:spacing w:val="16"/>
          <w:position w:val="1"/>
        </w:rPr>
        <w:t xml:space="preserve"> </w:t>
      </w:r>
      <w:r w:rsidRPr="00B46093">
        <w:rPr>
          <w:spacing w:val="-1"/>
          <w:position w:val="1"/>
        </w:rPr>
        <w:t>result</w:t>
      </w:r>
      <w:r w:rsidRPr="00B46093">
        <w:rPr>
          <w:spacing w:val="16"/>
          <w:position w:val="1"/>
        </w:rPr>
        <w:t xml:space="preserve"> </w:t>
      </w:r>
      <w:r w:rsidRPr="00B46093">
        <w:rPr>
          <w:position w:val="1"/>
        </w:rPr>
        <w:t>of</w:t>
      </w:r>
      <w:r w:rsidRPr="00B46093">
        <w:rPr>
          <w:spacing w:val="15"/>
          <w:position w:val="1"/>
        </w:rPr>
        <w:t xml:space="preserve"> </w:t>
      </w:r>
      <w:r w:rsidRPr="00B46093">
        <w:rPr>
          <w:position w:val="1"/>
        </w:rPr>
        <w:t>changes</w:t>
      </w:r>
      <w:r w:rsidRPr="00B46093">
        <w:rPr>
          <w:spacing w:val="18"/>
          <w:position w:val="1"/>
        </w:rPr>
        <w:t xml:space="preserve"> </w:t>
      </w:r>
      <w:r w:rsidRPr="00B46093">
        <w:rPr>
          <w:spacing w:val="-1"/>
          <w:position w:val="1"/>
        </w:rPr>
        <w:t>in</w:t>
      </w:r>
      <w:r w:rsidRPr="00B46093">
        <w:rPr>
          <w:spacing w:val="16"/>
          <w:position w:val="1"/>
        </w:rPr>
        <w:t xml:space="preserve"> </w:t>
      </w:r>
      <w:r w:rsidRPr="00B46093">
        <w:rPr>
          <w:position w:val="1"/>
        </w:rPr>
        <w:t>the</w:t>
      </w:r>
      <w:r w:rsidR="002A1043">
        <w:rPr>
          <w:spacing w:val="24"/>
          <w:position w:val="1"/>
        </w:rPr>
        <w:t xml:space="preserve"> Shell Helix </w:t>
      </w:r>
      <w:r w:rsidRPr="00B46093">
        <w:t>specifications,</w:t>
      </w:r>
      <w:r w:rsidRPr="00B46093">
        <w:rPr>
          <w:spacing w:val="-8"/>
        </w:rPr>
        <w:t xml:space="preserve"> </w:t>
      </w:r>
      <w:r w:rsidRPr="00B46093">
        <w:t>changes</w:t>
      </w:r>
      <w:r w:rsidRPr="00B46093">
        <w:rPr>
          <w:spacing w:val="-7"/>
        </w:rPr>
        <w:t xml:space="preserve"> </w:t>
      </w:r>
      <w:r w:rsidRPr="00B46093">
        <w:rPr>
          <w:spacing w:val="-1"/>
        </w:rPr>
        <w:t>in</w:t>
      </w:r>
      <w:r w:rsidRPr="00B46093">
        <w:rPr>
          <w:spacing w:val="-7"/>
        </w:rPr>
        <w:t xml:space="preserve"> </w:t>
      </w:r>
      <w:r w:rsidRPr="00B46093">
        <w:t>emission</w:t>
      </w:r>
      <w:r w:rsidRPr="00B46093">
        <w:rPr>
          <w:spacing w:val="-9"/>
        </w:rPr>
        <w:t xml:space="preserve"> </w:t>
      </w:r>
      <w:r w:rsidRPr="00B46093">
        <w:t>factors,</w:t>
      </w:r>
      <w:r w:rsidRPr="00B46093">
        <w:rPr>
          <w:spacing w:val="-7"/>
        </w:rPr>
        <w:t xml:space="preserve"> </w:t>
      </w:r>
      <w:r w:rsidRPr="00B46093">
        <w:t>or</w:t>
      </w:r>
      <w:r w:rsidRPr="00B46093">
        <w:rPr>
          <w:spacing w:val="-9"/>
        </w:rPr>
        <w:t xml:space="preserve"> </w:t>
      </w:r>
      <w:r w:rsidRPr="00B46093">
        <w:t>otherwise.</w:t>
      </w:r>
    </w:p>
    <w:sectPr w:rsidR="00A7623D" w:rsidRPr="00B4609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4F2" w:rsidRDefault="001B44F2" w:rsidP="00881B99">
      <w:r>
        <w:separator/>
      </w:r>
    </w:p>
  </w:endnote>
  <w:endnote w:type="continuationSeparator" w:id="0">
    <w:p w:rsidR="001B44F2" w:rsidRDefault="001B44F2" w:rsidP="0088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4F2" w:rsidRDefault="001B44F2" w:rsidP="00881B99">
      <w:r>
        <w:separator/>
      </w:r>
    </w:p>
  </w:footnote>
  <w:footnote w:type="continuationSeparator" w:id="0">
    <w:p w:rsidR="001B44F2" w:rsidRDefault="001B44F2" w:rsidP="00881B99">
      <w:r>
        <w:continuationSeparator/>
      </w:r>
    </w:p>
  </w:footnote>
  <w:footnote w:id="1">
    <w:p w:rsidR="00BE309A" w:rsidRPr="006B03AA" w:rsidRDefault="00BE309A">
      <w:pPr>
        <w:pStyle w:val="FootnoteText"/>
        <w:rPr>
          <w:sz w:val="18"/>
          <w:szCs w:val="18"/>
          <w:lang w:val="en-GB"/>
        </w:rPr>
      </w:pPr>
      <w:r w:rsidRPr="006B03AA">
        <w:rPr>
          <w:rStyle w:val="FootnoteReference"/>
          <w:sz w:val="18"/>
          <w:szCs w:val="18"/>
        </w:rPr>
        <w:footnoteRef/>
      </w:r>
      <w:r w:rsidRPr="006B03AA">
        <w:rPr>
          <w:sz w:val="18"/>
          <w:szCs w:val="18"/>
        </w:rPr>
        <w:t xml:space="preserve"> CO</w:t>
      </w:r>
      <w:r w:rsidRPr="006B03AA">
        <w:rPr>
          <w:sz w:val="18"/>
          <w:szCs w:val="18"/>
          <w:vertAlign w:val="subscript"/>
        </w:rPr>
        <w:t>2</w:t>
      </w:r>
      <w:r w:rsidRPr="006B03AA">
        <w:rPr>
          <w:sz w:val="18"/>
          <w:szCs w:val="18"/>
        </w:rPr>
        <w:t>e (CO</w:t>
      </w:r>
      <w:r w:rsidRPr="006B03AA">
        <w:rPr>
          <w:sz w:val="18"/>
          <w:szCs w:val="18"/>
          <w:vertAlign w:val="subscript"/>
        </w:rPr>
        <w:t>2</w:t>
      </w:r>
      <w:r w:rsidRPr="006B03AA">
        <w:rPr>
          <w:sz w:val="18"/>
          <w:szCs w:val="18"/>
        </w:rPr>
        <w:t xml:space="preserve"> equivalent) emissions” means CO</w:t>
      </w:r>
      <w:r w:rsidRPr="006B03AA">
        <w:rPr>
          <w:sz w:val="18"/>
          <w:szCs w:val="18"/>
          <w:vertAlign w:val="subscript"/>
        </w:rPr>
        <w:t>2</w:t>
      </w:r>
      <w:r w:rsidRPr="006B03AA">
        <w:rPr>
          <w:sz w:val="18"/>
          <w:szCs w:val="18"/>
        </w:rPr>
        <w:t>, CH</w:t>
      </w:r>
      <w:r w:rsidRPr="006B03AA">
        <w:rPr>
          <w:sz w:val="18"/>
          <w:szCs w:val="18"/>
          <w:vertAlign w:val="subscript"/>
        </w:rPr>
        <w:t>4</w:t>
      </w:r>
      <w:r w:rsidRPr="006B03AA">
        <w:rPr>
          <w:sz w:val="18"/>
          <w:szCs w:val="18"/>
        </w:rPr>
        <w:t>, N</w:t>
      </w:r>
      <w:r w:rsidRPr="006B03AA">
        <w:rPr>
          <w:sz w:val="18"/>
          <w:szCs w:val="18"/>
          <w:vertAlign w:val="subscript"/>
        </w:rPr>
        <w:t>2</w:t>
      </w:r>
      <w:r w:rsidRPr="006B03AA">
        <w:rPr>
          <w:sz w:val="18"/>
          <w:szCs w:val="18"/>
        </w:rPr>
        <w:t>O emissions</w:t>
      </w:r>
      <w:r>
        <w:rPr>
          <w:sz w:val="18"/>
          <w:szCs w:val="18"/>
        </w:rPr>
        <w:t>.</w:t>
      </w:r>
    </w:p>
  </w:footnote>
  <w:footnote w:id="2">
    <w:p w:rsidR="00FB46B8" w:rsidRDefault="00FB46B8">
      <w:pPr>
        <w:pStyle w:val="FootnoteText"/>
      </w:pPr>
      <w:r w:rsidRPr="006B03AA">
        <w:rPr>
          <w:rStyle w:val="FootnoteReference"/>
          <w:sz w:val="18"/>
          <w:szCs w:val="18"/>
        </w:rPr>
        <w:footnoteRef/>
      </w:r>
      <w:r w:rsidRPr="006B03AA">
        <w:rPr>
          <w:sz w:val="18"/>
          <w:szCs w:val="18"/>
        </w:rPr>
        <w:t xml:space="preserve"> </w:t>
      </w:r>
      <w:r w:rsidRPr="00BE309A">
        <w:rPr>
          <w:sz w:val="18"/>
          <w:szCs w:val="18"/>
        </w:rPr>
        <w:t xml:space="preserve">The companies in which Royal Dutch Shell plc directly and indirectly owns investments are separate legal entities. In this </w:t>
      </w:r>
      <w:r w:rsidRPr="006B03AA">
        <w:rPr>
          <w:sz w:val="18"/>
          <w:szCs w:val="18"/>
        </w:rPr>
        <w:t xml:space="preserve">document “Shell”, “Shell Group” and “Royal Dutch Shell” are sometimes used for convenience where references are made to Royal Dutch Shell plc and its subsidiaries in general. Likewise, the words “we”, “us” and </w:t>
      </w:r>
      <w:proofErr w:type="gramStart"/>
      <w:r w:rsidRPr="006B03AA">
        <w:rPr>
          <w:sz w:val="18"/>
          <w:szCs w:val="18"/>
        </w:rPr>
        <w:t>“our”</w:t>
      </w:r>
      <w:proofErr w:type="gramEnd"/>
      <w:r w:rsidRPr="006B03AA">
        <w:rPr>
          <w:sz w:val="18"/>
          <w:szCs w:val="18"/>
        </w:rPr>
        <w:t xml:space="preserve"> are also used to refer to Royal Dutch Shell plc and its subsidiaries in general or to those who work for them. These terms are also used where no useful purpose is served by identifying the particular entity or entities. ‘‘Subsidiaries’’, “Shell subsidiaries” and “Shell companies” as used in this press release refer to entities over which Royal Dutch Shell plc either directly or indirectly has control.</w:t>
      </w:r>
    </w:p>
  </w:footnote>
  <w:footnote w:id="3">
    <w:p w:rsidR="00FB46B8" w:rsidRDefault="00FB46B8">
      <w:pPr>
        <w:pStyle w:val="FootnoteText"/>
      </w:pPr>
      <w:r>
        <w:rPr>
          <w:rStyle w:val="FootnoteReference"/>
        </w:rPr>
        <w:footnoteRef/>
      </w:r>
      <w:r>
        <w:t xml:space="preserve"> </w:t>
      </w:r>
      <w:r w:rsidRPr="00FB46B8">
        <w:rPr>
          <w:sz w:val="16"/>
          <w:szCs w:val="16"/>
          <w:lang w:val="en-GB"/>
        </w:rPr>
        <w:t>Shell’s “Net Carbon Footprint”, which includes Shell’s carbon emissions from the production of our energy products, our suppliers’ carbon emissions in supplying energy for that production and our customers’ carbon emissions associated with their use of the energy products we sell. Shell only controls its own emissions. But, to support society in achieving the Paris Agreement goals, we aim to help such suppliers and consumers to likewise lower their emissions. The use of the term Shell’s “Net Carbon Footprint” is for convenience only and not intended to suggest these emissions are those of Shell or its subsidiaries</w:t>
      </w:r>
      <w:r>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B99" w:rsidRDefault="00881B99">
    <w:pPr>
      <w:pStyle w:val="Header"/>
    </w:pPr>
    <w:r>
      <w:tab/>
    </w:r>
    <w:r>
      <w:tab/>
    </w:r>
    <w:r>
      <w:tab/>
    </w:r>
    <w:r>
      <w:tab/>
    </w:r>
    <w:r>
      <w:tab/>
    </w:r>
    <w:r>
      <w:tab/>
    </w:r>
    <w:r>
      <w:tab/>
    </w:r>
    <w:r>
      <w:tab/>
    </w:r>
    <w:r w:rsidR="00453CCE">
      <w:tab/>
    </w:r>
    <w:r w:rsidR="00453CCE">
      <w:tab/>
    </w:r>
    <w:r w:rsidR="00E66EAC">
      <w:t xml:space="preserve">FINAL </w:t>
    </w:r>
    <w:r w:rsidR="006B03AA">
      <w:t>16.11.</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16696F"/>
    <w:multiLevelType w:val="hybridMultilevel"/>
    <w:tmpl w:val="1812E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405CA1"/>
    <w:multiLevelType w:val="hybridMultilevel"/>
    <w:tmpl w:val="D160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CF22646"/>
    <w:multiLevelType w:val="hybridMultilevel"/>
    <w:tmpl w:val="96E0B6D8"/>
    <w:lvl w:ilvl="0" w:tplc="FC72437C">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5BD5319"/>
    <w:multiLevelType w:val="hybridMultilevel"/>
    <w:tmpl w:val="4CFC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1"/>
  </w:num>
  <w:num w:numId="23">
    <w:abstractNumId w:val="26"/>
  </w:num>
  <w:num w:numId="24">
    <w:abstractNumId w:val="24"/>
  </w:num>
  <w:num w:numId="25">
    <w:abstractNumId w:val="15"/>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A5"/>
    <w:rsid w:val="00001F07"/>
    <w:rsid w:val="00013626"/>
    <w:rsid w:val="00054027"/>
    <w:rsid w:val="00072BC4"/>
    <w:rsid w:val="00163D27"/>
    <w:rsid w:val="001B44F2"/>
    <w:rsid w:val="00237D37"/>
    <w:rsid w:val="00240AD0"/>
    <w:rsid w:val="002A1043"/>
    <w:rsid w:val="00420683"/>
    <w:rsid w:val="00453CCE"/>
    <w:rsid w:val="00455A37"/>
    <w:rsid w:val="004607A5"/>
    <w:rsid w:val="00483087"/>
    <w:rsid w:val="004A0F1B"/>
    <w:rsid w:val="004C2319"/>
    <w:rsid w:val="004C5D47"/>
    <w:rsid w:val="005723A5"/>
    <w:rsid w:val="005A45A9"/>
    <w:rsid w:val="00614317"/>
    <w:rsid w:val="00645252"/>
    <w:rsid w:val="006B03AA"/>
    <w:rsid w:val="006B6FBA"/>
    <w:rsid w:val="006D3D74"/>
    <w:rsid w:val="006D58FC"/>
    <w:rsid w:val="0072324D"/>
    <w:rsid w:val="007F022F"/>
    <w:rsid w:val="0083569A"/>
    <w:rsid w:val="00881B99"/>
    <w:rsid w:val="008D5495"/>
    <w:rsid w:val="00906E90"/>
    <w:rsid w:val="009628D8"/>
    <w:rsid w:val="00985C22"/>
    <w:rsid w:val="00992AFB"/>
    <w:rsid w:val="00996F7E"/>
    <w:rsid w:val="00A32BDC"/>
    <w:rsid w:val="00A4301C"/>
    <w:rsid w:val="00A7623D"/>
    <w:rsid w:val="00A9204E"/>
    <w:rsid w:val="00B438FD"/>
    <w:rsid w:val="00B46093"/>
    <w:rsid w:val="00BB498C"/>
    <w:rsid w:val="00BE309A"/>
    <w:rsid w:val="00C5001B"/>
    <w:rsid w:val="00CA0F76"/>
    <w:rsid w:val="00CA244B"/>
    <w:rsid w:val="00CD009E"/>
    <w:rsid w:val="00D069F3"/>
    <w:rsid w:val="00D07319"/>
    <w:rsid w:val="00D86B82"/>
    <w:rsid w:val="00DB6DCB"/>
    <w:rsid w:val="00E464DF"/>
    <w:rsid w:val="00E5441D"/>
    <w:rsid w:val="00E63D76"/>
    <w:rsid w:val="00E66EAC"/>
    <w:rsid w:val="00E76755"/>
    <w:rsid w:val="00E93374"/>
    <w:rsid w:val="00EE1A28"/>
    <w:rsid w:val="00EF3579"/>
    <w:rsid w:val="00EF6A06"/>
    <w:rsid w:val="00F238B1"/>
    <w:rsid w:val="00FB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67F5"/>
  <w15:chartTrackingRefBased/>
  <w15:docId w15:val="{1FD25BD5-B6AD-4A7B-9645-E25644EE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607A5"/>
    <w:pPr>
      <w:ind w:left="720"/>
      <w:contextualSpacing/>
    </w:pPr>
  </w:style>
  <w:style w:type="table" w:styleId="TableGrid">
    <w:name w:val="Table Grid"/>
    <w:basedOn w:val="TableNormal"/>
    <w:uiPriority w:val="39"/>
    <w:rsid w:val="00906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peaker's copy,Editorial,No Spacing1"/>
    <w:link w:val="NoSpacingChar"/>
    <w:uiPriority w:val="1"/>
    <w:qFormat/>
    <w:rsid w:val="00240AD0"/>
    <w:pPr>
      <w:jc w:val="both"/>
    </w:pPr>
    <w:rPr>
      <w:szCs w:val="20"/>
      <w:lang w:eastAsia="en-GB"/>
    </w:rPr>
  </w:style>
  <w:style w:type="character" w:customStyle="1" w:styleId="NoSpacingChar">
    <w:name w:val="No Spacing Char"/>
    <w:aliases w:val="Speaker's copy Char,Editorial Char,No Spacing1 Char"/>
    <w:basedOn w:val="DefaultParagraphFont"/>
    <w:link w:val="NoSpacing"/>
    <w:uiPriority w:val="1"/>
    <w:rsid w:val="00240AD0"/>
    <w:rPr>
      <w:szCs w:val="20"/>
      <w:lang w:eastAsia="en-GB"/>
    </w:rPr>
  </w:style>
  <w:style w:type="character" w:styleId="FootnoteReference">
    <w:name w:val="footnote reference"/>
    <w:basedOn w:val="DefaultParagraphFont"/>
    <w:uiPriority w:val="99"/>
    <w:semiHidden/>
    <w:unhideWhenUsed/>
    <w:rsid w:val="00FB46B8"/>
    <w:rPr>
      <w:vertAlign w:val="superscript"/>
    </w:rPr>
  </w:style>
  <w:style w:type="character" w:styleId="UnresolvedMention">
    <w:name w:val="Unresolved Mention"/>
    <w:basedOn w:val="DefaultParagraphFont"/>
    <w:uiPriority w:val="99"/>
    <w:semiHidden/>
    <w:unhideWhenUsed/>
    <w:rsid w:val="00420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Fritz\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024F30F4B2B41A3CB36BB38AB1670" ma:contentTypeVersion="12" ma:contentTypeDescription="Create a new document." ma:contentTypeScope="" ma:versionID="ec7db9642ad8951fbe64c184b6537809">
  <xsd:schema xmlns:xsd="http://www.w3.org/2001/XMLSchema" xmlns:xs="http://www.w3.org/2001/XMLSchema" xmlns:p="http://schemas.microsoft.com/office/2006/metadata/properties" xmlns:ns3="636e303f-97f4-4ac9-a506-00382745957f" xmlns:ns4="fe9403c8-8124-4bb0-a5eb-9b2d891eda4a" targetNamespace="http://schemas.microsoft.com/office/2006/metadata/properties" ma:root="true" ma:fieldsID="b1d6ced1eba5d69aa25f175a340b2862" ns3:_="" ns4:_="">
    <xsd:import namespace="636e303f-97f4-4ac9-a506-00382745957f"/>
    <xsd:import namespace="fe9403c8-8124-4bb0-a5eb-9b2d891eda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e303f-97f4-4ac9-a506-003827459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403c8-8124-4bb0-a5eb-9b2d891eda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A60EF9-1D77-4F44-8C6B-C96515E6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e303f-97f4-4ac9-a506-00382745957f"/>
    <ds:schemaRef ds:uri="fe9403c8-8124-4bb0-a5eb-9b2d891ed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131E3-47FD-45F1-A3C9-1F773E73EEEC}">
  <ds:schemaRefs>
    <ds:schemaRef ds:uri="http://schemas.microsoft.com/sharepoint/v3/contenttype/forms"/>
  </ds:schemaRefs>
</ds:datastoreItem>
</file>

<file path=customXml/itemProps4.xml><?xml version="1.0" encoding="utf-8"?>
<ds:datastoreItem xmlns:ds="http://schemas.openxmlformats.org/officeDocument/2006/customXml" ds:itemID="{B3A9B8E3-B5BB-43B9-AE29-A9ED2676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Agnes SI-LSPT/E</dc:creator>
  <cp:keywords/>
  <dc:description/>
  <cp:lastModifiedBy>jadhav, Ganesh SOMACC-MUM-ACC</cp:lastModifiedBy>
  <cp:revision>1</cp:revision>
  <dcterms:created xsi:type="dcterms:W3CDTF">2020-12-02T14:15:00Z</dcterms:created>
  <dcterms:modified xsi:type="dcterms:W3CDTF">2020-12-02T14:15:00Z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0x010100B7F024F30F4B2B41A3CB36BB38AB1670</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